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B1" w:rsidRDefault="004821B1" w:rsidP="004821B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1D4A1FF" wp14:editId="75576F5A">
            <wp:simplePos x="0" y="0"/>
            <wp:positionH relativeFrom="margin">
              <wp:posOffset>-542290</wp:posOffset>
            </wp:positionH>
            <wp:positionV relativeFrom="paragraph">
              <wp:posOffset>241300</wp:posOffset>
            </wp:positionV>
            <wp:extent cx="1456690" cy="36703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1B1" w:rsidRPr="00664F1C" w:rsidRDefault="004821B1" w:rsidP="004821B1">
      <w:pPr>
        <w:rPr>
          <w:rFonts w:ascii="Arial Black" w:hAnsi="Arial Black" w:cs="Arial Black"/>
          <w:color w:val="000000"/>
          <w:sz w:val="36"/>
          <w:szCs w:val="20"/>
          <w:shd w:val="clear" w:color="auto" w:fill="FFFFFF"/>
        </w:rPr>
      </w:pPr>
      <w:r w:rsidRPr="00664F1C">
        <w:rPr>
          <w:rFonts w:ascii="Arial Black" w:hAnsi="Arial Black" w:cs="Arial Black"/>
          <w:sz w:val="28"/>
          <w:szCs w:val="28"/>
        </w:rPr>
        <w:t>Fundação Centro de Controle de Oncologia do Amazonas</w:t>
      </w:r>
    </w:p>
    <w:p w:rsidR="004821B1" w:rsidRDefault="004821B1" w:rsidP="004821B1">
      <w:pPr>
        <w:rPr>
          <w:rFonts w:ascii="Arial Black" w:hAnsi="Arial Black" w:cs="Arial Black"/>
        </w:rPr>
      </w:pPr>
    </w:p>
    <w:p w:rsidR="004821B1" w:rsidRPr="00803639" w:rsidRDefault="004821B1" w:rsidP="004821B1"/>
    <w:p w:rsidR="004821B1" w:rsidRPr="00803639" w:rsidRDefault="004821B1" w:rsidP="004821B1"/>
    <w:p w:rsidR="004821B1" w:rsidRDefault="004821B1" w:rsidP="004821B1"/>
    <w:p w:rsidR="004821B1" w:rsidRDefault="004821B1" w:rsidP="004821B1"/>
    <w:p w:rsidR="004821B1" w:rsidRPr="00803639" w:rsidRDefault="004821B1" w:rsidP="004821B1"/>
    <w:p w:rsidR="004821B1" w:rsidRPr="00803639" w:rsidRDefault="004821B1" w:rsidP="004821B1"/>
    <w:p w:rsidR="004821B1" w:rsidRPr="00803639" w:rsidRDefault="004821B1" w:rsidP="004821B1"/>
    <w:p w:rsidR="004821B1" w:rsidRPr="00803639" w:rsidRDefault="004821B1" w:rsidP="004821B1"/>
    <w:p w:rsidR="004821B1" w:rsidRDefault="004821B1" w:rsidP="004821B1">
      <w:pPr>
        <w:rPr>
          <w:rFonts w:ascii="Arial Black" w:hAnsi="Arial Black"/>
          <w:sz w:val="36"/>
        </w:rPr>
      </w:pPr>
    </w:p>
    <w:p w:rsidR="004821B1" w:rsidRDefault="004821B1" w:rsidP="004821B1">
      <w:pPr>
        <w:rPr>
          <w:rFonts w:ascii="Arial Black" w:hAnsi="Arial Black"/>
          <w:sz w:val="36"/>
        </w:rPr>
      </w:pPr>
    </w:p>
    <w:p w:rsidR="004821B1" w:rsidRDefault="004821B1" w:rsidP="004821B1">
      <w:pPr>
        <w:jc w:val="center"/>
        <w:rPr>
          <w:rFonts w:ascii="Arial Black" w:hAnsi="Arial Black"/>
          <w:sz w:val="36"/>
        </w:rPr>
      </w:pPr>
      <w:r w:rsidRPr="00803639">
        <w:rPr>
          <w:rFonts w:ascii="Arial Black" w:hAnsi="Arial Black"/>
          <w:sz w:val="36"/>
        </w:rPr>
        <w:t>Procedimento Operacional Padrão</w:t>
      </w:r>
    </w:p>
    <w:p w:rsidR="004821B1" w:rsidRPr="00A54E41" w:rsidRDefault="004821B1" w:rsidP="004821B1">
      <w:pPr>
        <w:jc w:val="center"/>
        <w:rPr>
          <w:rFonts w:ascii="Arial Black" w:hAnsi="Arial Black"/>
          <w:sz w:val="32"/>
          <w:szCs w:val="32"/>
        </w:rPr>
      </w:pPr>
      <w:r w:rsidRPr="00A54E41">
        <w:rPr>
          <w:rFonts w:ascii="Arial Black" w:hAnsi="Arial Black"/>
          <w:sz w:val="32"/>
          <w:szCs w:val="32"/>
        </w:rPr>
        <w:t>ADMINISTRAÇÃO DE MEDICAMENTOS POR VIA VAGINAL</w:t>
      </w:r>
    </w:p>
    <w:p w:rsidR="004821B1" w:rsidRPr="00A54E41" w:rsidRDefault="004821B1" w:rsidP="004821B1">
      <w:pPr>
        <w:jc w:val="center"/>
        <w:rPr>
          <w:rFonts w:ascii="Arial Black" w:hAnsi="Arial Black"/>
          <w:sz w:val="32"/>
          <w:szCs w:val="32"/>
        </w:rPr>
      </w:pPr>
      <w:r w:rsidRPr="00A54E41">
        <w:rPr>
          <w:rFonts w:ascii="Arial Black" w:hAnsi="Arial Black"/>
          <w:sz w:val="32"/>
          <w:szCs w:val="32"/>
        </w:rPr>
        <w:t>POP 014</w:t>
      </w:r>
    </w:p>
    <w:p w:rsidR="004821B1" w:rsidRDefault="004821B1" w:rsidP="004821B1">
      <w:pPr>
        <w:jc w:val="center"/>
        <w:rPr>
          <w:rFonts w:ascii="Arial Black" w:hAnsi="Arial Black"/>
          <w:sz w:val="36"/>
        </w:rPr>
      </w:pPr>
    </w:p>
    <w:p w:rsidR="004821B1" w:rsidRPr="00803639" w:rsidRDefault="004821B1" w:rsidP="004821B1">
      <w:pPr>
        <w:jc w:val="center"/>
        <w:rPr>
          <w:rFonts w:ascii="Arial Black" w:hAnsi="Arial Black"/>
          <w:sz w:val="36"/>
        </w:rPr>
      </w:pPr>
    </w:p>
    <w:p w:rsidR="004821B1" w:rsidRDefault="004821B1" w:rsidP="004821B1"/>
    <w:p w:rsidR="004821B1" w:rsidRDefault="004821B1" w:rsidP="004821B1"/>
    <w:p w:rsidR="004821B1" w:rsidRDefault="004821B1" w:rsidP="004821B1"/>
    <w:p w:rsidR="004821B1" w:rsidRDefault="004821B1" w:rsidP="004821B1"/>
    <w:p w:rsidR="004821B1" w:rsidRDefault="004821B1" w:rsidP="004821B1"/>
    <w:p w:rsidR="004821B1" w:rsidRDefault="004821B1" w:rsidP="004821B1"/>
    <w:p w:rsidR="004821B1" w:rsidRDefault="004821B1" w:rsidP="004821B1"/>
    <w:tbl>
      <w:tblPr>
        <w:tblStyle w:val="Tabelacomgrade"/>
        <w:tblW w:w="9894" w:type="dxa"/>
        <w:tblInd w:w="-714" w:type="dxa"/>
        <w:tblLook w:val="04A0" w:firstRow="1" w:lastRow="0" w:firstColumn="1" w:lastColumn="0" w:noHBand="0" w:noVBand="1"/>
      </w:tblPr>
      <w:tblGrid>
        <w:gridCol w:w="1956"/>
        <w:gridCol w:w="1985"/>
        <w:gridCol w:w="2410"/>
        <w:gridCol w:w="2268"/>
        <w:gridCol w:w="1275"/>
      </w:tblGrid>
      <w:tr w:rsidR="004821B1" w:rsidRPr="00A54E41" w:rsidTr="00231786">
        <w:tc>
          <w:tcPr>
            <w:tcW w:w="1956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b/>
                <w:sz w:val="22"/>
                <w:szCs w:val="22"/>
              </w:rPr>
            </w:pPr>
            <w:r w:rsidRPr="00A54E41">
              <w:rPr>
                <w:rFonts w:ascii="Arial Black" w:hAnsi="Arial Black" w:cs="Tahoma"/>
                <w:b/>
                <w:sz w:val="22"/>
                <w:szCs w:val="22"/>
              </w:rPr>
              <w:t>Código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DE-</w:t>
            </w:r>
            <w:r w:rsidRPr="00A54E41">
              <w:rPr>
                <w:rFonts w:ascii="Arial Black" w:hAnsi="Arial Black" w:cs="Tahoma"/>
                <w:sz w:val="20"/>
                <w:szCs w:val="20"/>
              </w:rPr>
              <w:t>AMVV/014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b/>
                <w:sz w:val="22"/>
                <w:szCs w:val="22"/>
              </w:rPr>
            </w:pPr>
            <w:r w:rsidRPr="00A54E41">
              <w:rPr>
                <w:rFonts w:ascii="Arial Black" w:hAnsi="Arial Black" w:cs="Tahoma"/>
                <w:b/>
                <w:sz w:val="22"/>
                <w:szCs w:val="22"/>
              </w:rPr>
              <w:t>Data Emissão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 w:cs="Tahoma"/>
                <w:sz w:val="22"/>
                <w:szCs w:val="22"/>
              </w:rPr>
              <w:t>2024</w:t>
            </w:r>
            <w:bookmarkStart w:id="0" w:name="_GoBack"/>
            <w:bookmarkEnd w:id="0"/>
          </w:p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b/>
                <w:sz w:val="22"/>
                <w:szCs w:val="22"/>
              </w:rPr>
            </w:pPr>
            <w:r w:rsidRPr="00A54E41">
              <w:rPr>
                <w:rFonts w:ascii="Arial Black" w:hAnsi="Arial Black" w:cs="Tahoma"/>
                <w:b/>
                <w:sz w:val="22"/>
                <w:szCs w:val="22"/>
              </w:rPr>
              <w:t>Data de Vigência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 w:cs="Tahoma"/>
                <w:sz w:val="22"/>
                <w:szCs w:val="22"/>
              </w:rPr>
              <w:t>2024/2027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b/>
                <w:sz w:val="22"/>
                <w:szCs w:val="22"/>
              </w:rPr>
            </w:pPr>
            <w:r w:rsidRPr="00A54E41">
              <w:rPr>
                <w:rFonts w:ascii="Arial Black" w:hAnsi="Arial Black" w:cs="Tahoma"/>
                <w:b/>
                <w:sz w:val="22"/>
                <w:szCs w:val="22"/>
              </w:rPr>
              <w:t>Próxima Revisão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 w:cs="Tahoma"/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sz w:val="22"/>
                <w:szCs w:val="22"/>
              </w:rPr>
            </w:pPr>
            <w:r w:rsidRPr="00A54E41">
              <w:rPr>
                <w:rFonts w:ascii="Arial Black" w:hAnsi="Arial Black" w:cs="Tahoma"/>
                <w:b/>
                <w:sz w:val="22"/>
                <w:szCs w:val="22"/>
              </w:rPr>
              <w:t>Revisão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A54E41">
              <w:rPr>
                <w:rFonts w:ascii="Arial Black" w:hAnsi="Arial Black" w:cs="Tahoma"/>
                <w:sz w:val="22"/>
                <w:szCs w:val="22"/>
              </w:rPr>
              <w:t>03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 w:cs="Tahoma"/>
                <w:sz w:val="22"/>
                <w:szCs w:val="22"/>
              </w:rPr>
            </w:pPr>
          </w:p>
        </w:tc>
      </w:tr>
    </w:tbl>
    <w:p w:rsidR="004821B1" w:rsidRDefault="004821B1" w:rsidP="004821B1"/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3545"/>
        <w:gridCol w:w="3118"/>
        <w:gridCol w:w="3260"/>
      </w:tblGrid>
      <w:tr w:rsidR="004821B1" w:rsidRPr="00A54E41" w:rsidTr="00231786">
        <w:trPr>
          <w:jc w:val="center"/>
        </w:trPr>
        <w:tc>
          <w:tcPr>
            <w:tcW w:w="3545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Arial"/>
              </w:rPr>
            </w:pPr>
            <w:r w:rsidRPr="00A54E41">
              <w:rPr>
                <w:rFonts w:ascii="Arial Black" w:hAnsi="Arial Black" w:cs="Arial"/>
              </w:rPr>
              <w:t>Elaborado por:</w:t>
            </w:r>
          </w:p>
          <w:p w:rsidR="004821B1" w:rsidRPr="00A54E41" w:rsidRDefault="004821B1" w:rsidP="00231786">
            <w:pPr>
              <w:rPr>
                <w:rFonts w:ascii="Arial Black" w:hAnsi="Arial Black" w:cs="Arial"/>
              </w:rPr>
            </w:pPr>
          </w:p>
          <w:p w:rsidR="004821B1" w:rsidRPr="00A54E41" w:rsidRDefault="004821B1" w:rsidP="00231786">
            <w:pPr>
              <w:jc w:val="center"/>
              <w:rPr>
                <w:rFonts w:ascii="Arial Black" w:hAnsi="Arial Black" w:cs="Arial"/>
              </w:rPr>
            </w:pPr>
            <w:r w:rsidRPr="00A54E41">
              <w:rPr>
                <w:rFonts w:ascii="Arial Black" w:hAnsi="Arial Black" w:cs="Arial"/>
              </w:rPr>
              <w:t>Lorena Barros da Silveira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 w:cs="Arial"/>
              </w:rPr>
            </w:pPr>
            <w:r w:rsidRPr="00A54E41">
              <w:rPr>
                <w:rFonts w:ascii="Arial Black" w:hAnsi="Arial Black" w:cs="Arial"/>
              </w:rPr>
              <w:t>Especialista em Oncologia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 w:cs="Arial"/>
              </w:rPr>
            </w:pPr>
            <w:r w:rsidRPr="00A54E41">
              <w:rPr>
                <w:rFonts w:ascii="Arial Black" w:hAnsi="Arial Black" w:cs="Arial"/>
              </w:rPr>
              <w:t>COREN- 342855</w:t>
            </w:r>
          </w:p>
        </w:tc>
        <w:tc>
          <w:tcPr>
            <w:tcW w:w="3118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Arial"/>
              </w:rPr>
            </w:pPr>
            <w:r w:rsidRPr="00A54E41">
              <w:rPr>
                <w:rFonts w:ascii="Arial Black" w:hAnsi="Arial Black" w:cs="Arial"/>
              </w:rPr>
              <w:t>Verificado por:</w:t>
            </w:r>
          </w:p>
          <w:p w:rsidR="004821B1" w:rsidRPr="00A54E41" w:rsidRDefault="004821B1" w:rsidP="00231786">
            <w:pPr>
              <w:rPr>
                <w:rFonts w:ascii="Arial Black" w:hAnsi="Arial Black" w:cs="Arial"/>
              </w:rPr>
            </w:pPr>
          </w:p>
          <w:p w:rsidR="004821B1" w:rsidRPr="00F25FEF" w:rsidRDefault="004821B1" w:rsidP="00231786">
            <w:pPr>
              <w:jc w:val="center"/>
              <w:rPr>
                <w:rFonts w:ascii="Arial Black" w:eastAsia="Calibri" w:hAnsi="Arial Black"/>
                <w:b/>
              </w:rPr>
            </w:pPr>
            <w:proofErr w:type="spellStart"/>
            <w:r>
              <w:rPr>
                <w:rFonts w:ascii="Arial Black" w:eastAsia="Calibri" w:hAnsi="Arial Black"/>
                <w:b/>
              </w:rPr>
              <w:t>Jarilza</w:t>
            </w:r>
            <w:proofErr w:type="spellEnd"/>
            <w:r>
              <w:rPr>
                <w:rFonts w:ascii="Arial Black" w:eastAsia="Calibri" w:hAnsi="Arial Black"/>
                <w:b/>
              </w:rPr>
              <w:t xml:space="preserve"> Viana de Mendonça</w:t>
            </w:r>
          </w:p>
          <w:p w:rsidR="004821B1" w:rsidRPr="00F25FEF" w:rsidRDefault="004821B1" w:rsidP="00231786">
            <w:pPr>
              <w:jc w:val="center"/>
              <w:rPr>
                <w:rFonts w:ascii="Arial Black" w:eastAsia="Calibri" w:hAnsi="Arial Black"/>
                <w:b/>
              </w:rPr>
            </w:pPr>
            <w:proofErr w:type="spellStart"/>
            <w:r w:rsidRPr="00F25FEF">
              <w:rPr>
                <w:rFonts w:ascii="Arial Black" w:eastAsia="Calibri" w:hAnsi="Arial Black"/>
                <w:b/>
              </w:rPr>
              <w:t>Sub-gerente</w:t>
            </w:r>
            <w:proofErr w:type="spellEnd"/>
            <w:r w:rsidRPr="00F25FEF">
              <w:rPr>
                <w:rFonts w:ascii="Arial Black" w:eastAsia="Calibri" w:hAnsi="Arial Black"/>
                <w:b/>
              </w:rPr>
              <w:t xml:space="preserve"> de Enfermagem</w:t>
            </w:r>
          </w:p>
          <w:p w:rsidR="004821B1" w:rsidRPr="00F25FEF" w:rsidRDefault="004821B1" w:rsidP="00231786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eastAsia="Calibri" w:hAnsi="Arial Black"/>
                <w:b/>
              </w:rPr>
              <w:t>COREN: 476903</w:t>
            </w:r>
          </w:p>
          <w:p w:rsidR="004821B1" w:rsidRPr="00A54E41" w:rsidRDefault="004821B1" w:rsidP="00231786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60" w:type="dxa"/>
          </w:tcPr>
          <w:p w:rsidR="004821B1" w:rsidRPr="00A54E41" w:rsidRDefault="004821B1" w:rsidP="00231786">
            <w:pPr>
              <w:jc w:val="center"/>
              <w:rPr>
                <w:rFonts w:ascii="Arial Black" w:hAnsi="Arial Black" w:cs="Arial"/>
              </w:rPr>
            </w:pPr>
            <w:r w:rsidRPr="00A54E41">
              <w:rPr>
                <w:rFonts w:ascii="Arial Black" w:hAnsi="Arial Black" w:cs="Arial"/>
              </w:rPr>
              <w:t>Aprovado por:</w:t>
            </w:r>
          </w:p>
          <w:p w:rsidR="004821B1" w:rsidRPr="00A54E41" w:rsidRDefault="004821B1" w:rsidP="00231786">
            <w:pPr>
              <w:rPr>
                <w:rFonts w:ascii="Arial Black" w:hAnsi="Arial Black" w:cs="Arial"/>
              </w:rPr>
            </w:pPr>
          </w:p>
          <w:p w:rsidR="004821B1" w:rsidRPr="00A54E41" w:rsidRDefault="004821B1" w:rsidP="00231786">
            <w:pPr>
              <w:jc w:val="center"/>
              <w:rPr>
                <w:rFonts w:ascii="Arial Black" w:eastAsia="Calibri" w:hAnsi="Arial Black" w:cs="Arial"/>
              </w:rPr>
            </w:pPr>
            <w:r w:rsidRPr="00A54E41">
              <w:rPr>
                <w:rFonts w:ascii="Arial Black" w:eastAsia="Calibri" w:hAnsi="Arial Black" w:cs="Arial"/>
              </w:rPr>
              <w:t>Shirley Fragoso Monteiro</w:t>
            </w:r>
          </w:p>
          <w:p w:rsidR="004821B1" w:rsidRPr="00A54E41" w:rsidRDefault="004821B1" w:rsidP="00231786">
            <w:pPr>
              <w:jc w:val="center"/>
              <w:rPr>
                <w:rFonts w:ascii="Arial Black" w:eastAsia="Calibri" w:hAnsi="Arial Black" w:cs="Arial"/>
              </w:rPr>
            </w:pPr>
            <w:r w:rsidRPr="00A54E41">
              <w:rPr>
                <w:rFonts w:ascii="Arial Black" w:eastAsia="Calibri" w:hAnsi="Arial Black" w:cs="Arial"/>
              </w:rPr>
              <w:t>Chefe de Departamento de Enfermagem</w:t>
            </w:r>
          </w:p>
          <w:p w:rsidR="004821B1" w:rsidRPr="00A54E41" w:rsidRDefault="004821B1" w:rsidP="00231786">
            <w:pPr>
              <w:jc w:val="center"/>
              <w:rPr>
                <w:rFonts w:ascii="Arial Black" w:eastAsia="Calibri" w:hAnsi="Arial Black" w:cs="Arial"/>
              </w:rPr>
            </w:pPr>
            <w:r w:rsidRPr="00A54E41">
              <w:rPr>
                <w:rFonts w:ascii="Arial Black" w:eastAsia="Calibri" w:hAnsi="Arial Black" w:cs="Arial"/>
              </w:rPr>
              <w:t>COREN: 98228</w:t>
            </w:r>
          </w:p>
        </w:tc>
      </w:tr>
    </w:tbl>
    <w:p w:rsidR="004821B1" w:rsidRDefault="004821B1" w:rsidP="004821B1"/>
    <w:p w:rsidR="004821B1" w:rsidRPr="004821B1" w:rsidRDefault="004821B1" w:rsidP="004821B1">
      <w:pPr>
        <w:jc w:val="center"/>
        <w:rPr>
          <w:rFonts w:ascii="Arial" w:hAnsi="Arial" w:cs="Arial"/>
          <w:b/>
          <w:sz w:val="18"/>
        </w:rPr>
      </w:pPr>
      <w:r w:rsidRPr="00D57BEA">
        <w:rPr>
          <w:rFonts w:ascii="Arial" w:hAnsi="Arial" w:cs="Arial"/>
          <w:b/>
          <w:sz w:val="18"/>
        </w:rPr>
        <w:t>Documento exclusivo à Fundação CECON. Proibida a reprodução.</w:t>
      </w:r>
    </w:p>
    <w:tbl>
      <w:tblPr>
        <w:tblpPr w:leftFromText="141" w:rightFromText="141" w:tblpXSpec="center" w:tblpY="519"/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241"/>
        <w:gridCol w:w="593"/>
        <w:gridCol w:w="6276"/>
        <w:gridCol w:w="1637"/>
      </w:tblGrid>
      <w:tr w:rsidR="004858BF" w:rsidRPr="00A54E41">
        <w:trPr>
          <w:jc w:val="center"/>
        </w:trPr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E6483" w:rsidRPr="00A54E41" w:rsidRDefault="002E6483" w:rsidP="00A54E41">
            <w:pPr>
              <w:spacing w:line="360" w:lineRule="auto"/>
            </w:pPr>
          </w:p>
          <w:p w:rsidR="002E6483" w:rsidRPr="00A54E41" w:rsidRDefault="002E6483" w:rsidP="00A54E41">
            <w:pPr>
              <w:spacing w:line="360" w:lineRule="auto"/>
            </w:pPr>
          </w:p>
          <w:p w:rsidR="004858BF" w:rsidRPr="00A54E41" w:rsidRDefault="002E6483" w:rsidP="00A54E41">
            <w:pPr>
              <w:spacing w:line="360" w:lineRule="auto"/>
              <w:jc w:val="center"/>
              <w:rPr>
                <w:b/>
              </w:rPr>
            </w:pPr>
            <w:r w:rsidRPr="00A54E41">
              <w:rPr>
                <w:b/>
              </w:rPr>
              <w:t>FCECON</w:t>
            </w:r>
          </w:p>
        </w:tc>
        <w:tc>
          <w:tcPr>
            <w:tcW w:w="6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A54E41" w:rsidRDefault="004858BF" w:rsidP="00A54E41">
            <w:pPr>
              <w:spacing w:line="360" w:lineRule="auto"/>
              <w:rPr>
                <w:b/>
              </w:rPr>
            </w:pPr>
          </w:p>
          <w:p w:rsidR="004858BF" w:rsidRPr="00A54E41" w:rsidRDefault="004858BF" w:rsidP="00A54E41">
            <w:pPr>
              <w:spacing w:line="360" w:lineRule="auto"/>
              <w:rPr>
                <w:b/>
              </w:rPr>
            </w:pPr>
          </w:p>
          <w:p w:rsidR="004858BF" w:rsidRPr="00A54E41" w:rsidRDefault="005A1029" w:rsidP="00A54E41">
            <w:pPr>
              <w:spacing w:line="360" w:lineRule="auto"/>
              <w:jc w:val="center"/>
              <w:rPr>
                <w:b/>
              </w:rPr>
            </w:pPr>
            <w:r w:rsidRPr="00A54E41">
              <w:rPr>
                <w:b/>
              </w:rPr>
              <w:t>PROCEDIMENTO OPERACIONAL PADRÃO - POP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A54E41" w:rsidRDefault="004858BF" w:rsidP="00A54E41">
            <w:pPr>
              <w:spacing w:line="360" w:lineRule="auto"/>
              <w:jc w:val="center"/>
            </w:pPr>
          </w:p>
          <w:p w:rsidR="004858BF" w:rsidRPr="00A54E41" w:rsidRDefault="004858BF" w:rsidP="00A54E41">
            <w:pPr>
              <w:spacing w:line="360" w:lineRule="auto"/>
              <w:jc w:val="center"/>
            </w:pPr>
          </w:p>
          <w:p w:rsidR="004858BF" w:rsidRPr="00A54E41" w:rsidRDefault="005A1029" w:rsidP="00A54E41">
            <w:pPr>
              <w:spacing w:line="360" w:lineRule="auto"/>
              <w:jc w:val="center"/>
            </w:pPr>
            <w:r w:rsidRPr="00A54E41">
              <w:rPr>
                <w:b/>
              </w:rPr>
              <w:t>Página</w:t>
            </w:r>
            <w:r w:rsidRPr="00A54E41">
              <w:t>:</w:t>
            </w:r>
          </w:p>
          <w:p w:rsidR="004858BF" w:rsidRPr="00A54E41" w:rsidRDefault="000F30AD" w:rsidP="00A54E41">
            <w:pPr>
              <w:spacing w:line="360" w:lineRule="auto"/>
              <w:jc w:val="center"/>
            </w:pPr>
            <w:r>
              <w:t>1 de 3</w:t>
            </w:r>
          </w:p>
          <w:p w:rsidR="00ED321B" w:rsidRPr="00A54E41" w:rsidRDefault="00ED321B" w:rsidP="00A54E41">
            <w:pPr>
              <w:spacing w:line="360" w:lineRule="auto"/>
              <w:jc w:val="center"/>
            </w:pPr>
          </w:p>
        </w:tc>
      </w:tr>
      <w:tr w:rsidR="004858BF" w:rsidRPr="00A54E41">
        <w:trPr>
          <w:trHeight w:val="67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A54E41" w:rsidRDefault="004858BF" w:rsidP="00A54E41">
            <w:pPr>
              <w:spacing w:line="360" w:lineRule="auto"/>
              <w:rPr>
                <w:b/>
              </w:rPr>
            </w:pPr>
          </w:p>
          <w:p w:rsidR="004858BF" w:rsidRPr="00A54E41" w:rsidRDefault="005A1029" w:rsidP="000F30AD">
            <w:pPr>
              <w:spacing w:line="360" w:lineRule="auto"/>
              <w:rPr>
                <w:b/>
              </w:rPr>
            </w:pPr>
            <w:r w:rsidRPr="00A54E41">
              <w:rPr>
                <w:b/>
              </w:rPr>
              <w:t xml:space="preserve">ÁREA EMITENTE: </w:t>
            </w:r>
            <w:r w:rsidR="000F30AD">
              <w:t xml:space="preserve">DEPARTAMENTO DE ENFERMAGEM - DE </w:t>
            </w:r>
          </w:p>
        </w:tc>
      </w:tr>
      <w:tr w:rsidR="004858BF" w:rsidRPr="00A54E41">
        <w:trPr>
          <w:trHeight w:val="69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A54E41" w:rsidRDefault="004858BF" w:rsidP="00A54E41">
            <w:pPr>
              <w:spacing w:line="360" w:lineRule="auto"/>
              <w:rPr>
                <w:b/>
              </w:rPr>
            </w:pPr>
          </w:p>
          <w:p w:rsidR="004858BF" w:rsidRPr="00A54E41" w:rsidRDefault="005A1029" w:rsidP="00A54E41">
            <w:pPr>
              <w:spacing w:line="360" w:lineRule="auto"/>
              <w:ind w:right="227"/>
              <w:rPr>
                <w:b/>
              </w:rPr>
            </w:pPr>
            <w:r w:rsidRPr="00A54E41">
              <w:rPr>
                <w:b/>
              </w:rPr>
              <w:t>ASSUNTO</w:t>
            </w:r>
            <w:r w:rsidRPr="00A54E41">
              <w:t>:</w:t>
            </w:r>
            <w:r w:rsidRPr="00A54E41">
              <w:rPr>
                <w:bCs/>
                <w:color w:val="000000"/>
              </w:rPr>
              <w:t xml:space="preserve"> ADMINISTRAÇÃO DE MEDICAMENTOS POR VIA VAGINAL</w:t>
            </w:r>
          </w:p>
        </w:tc>
      </w:tr>
      <w:tr w:rsidR="004858BF" w:rsidRPr="00A54E41">
        <w:trPr>
          <w:trHeight w:val="852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A54E41" w:rsidRDefault="005A1029" w:rsidP="00A54E41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 w:rsidRPr="00A54E41">
              <w:rPr>
                <w:b/>
              </w:rPr>
              <w:t>Objetivo:</w:t>
            </w:r>
          </w:p>
          <w:p w:rsidR="004858BF" w:rsidRPr="00A54E41" w:rsidRDefault="005A1029" w:rsidP="00A54E41">
            <w:pPr>
              <w:widowControl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A54E41">
              <w:rPr>
                <w:bCs/>
              </w:rPr>
              <w:t>1.1. Auxiliar no tratamento de doenças ginecológicas utilizando a mucosa vaginal para absorção do medicamento de uso local.</w:t>
            </w:r>
          </w:p>
        </w:tc>
      </w:tr>
      <w:tr w:rsidR="004858BF" w:rsidRPr="00A54E41">
        <w:trPr>
          <w:trHeight w:val="3036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A54E41" w:rsidRDefault="005A1029" w:rsidP="00A54E4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A54E41">
              <w:rPr>
                <w:b/>
              </w:rPr>
              <w:t>Considerações Gerais:</w:t>
            </w:r>
          </w:p>
          <w:p w:rsidR="004858BF" w:rsidRPr="00A54E41" w:rsidRDefault="004858BF" w:rsidP="00A54E41">
            <w:pPr>
              <w:spacing w:line="360" w:lineRule="auto"/>
              <w:ind w:left="720"/>
              <w:rPr>
                <w:b/>
              </w:rPr>
            </w:pPr>
          </w:p>
          <w:p w:rsidR="004858BF" w:rsidRPr="00A54E41" w:rsidRDefault="005A1029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41">
              <w:rPr>
                <w:rFonts w:ascii="Times New Roman" w:hAnsi="Times New Roman"/>
                <w:sz w:val="24"/>
                <w:szCs w:val="24"/>
              </w:rPr>
              <w:t>2.1. Indicado para drenar secreções vaginais anormais, tratamento tópico para infecção ou inflamação, preparar para cirurgias dos órgãos reprodutores, indução do trabalho de parto.</w:t>
            </w:r>
          </w:p>
          <w:p w:rsidR="004858BF" w:rsidRPr="00A54E41" w:rsidRDefault="004858BF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A54E41" w:rsidRDefault="005A1029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41">
              <w:rPr>
                <w:rFonts w:ascii="Times New Roman" w:hAnsi="Times New Roman"/>
                <w:sz w:val="24"/>
                <w:szCs w:val="24"/>
              </w:rPr>
              <w:t>2.2. Contraindicação para pacientes com lesões na mucosa vaginal, paciente em período menstrual.</w:t>
            </w:r>
          </w:p>
          <w:p w:rsidR="004858BF" w:rsidRPr="00A54E41" w:rsidRDefault="004858BF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A54E41" w:rsidRDefault="005A1029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41">
              <w:rPr>
                <w:rFonts w:ascii="Times New Roman" w:hAnsi="Times New Roman"/>
                <w:sz w:val="24"/>
                <w:szCs w:val="24"/>
              </w:rPr>
              <w:t>2.3. Os aplicadores vaginais são de uso individual e descartável. Podem eventualmente ser lavado com água quente e sabão líquido após o uso.</w:t>
            </w:r>
          </w:p>
          <w:p w:rsidR="004858BF" w:rsidRPr="00A54E41" w:rsidRDefault="004858BF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A54E41" w:rsidRDefault="005A1029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41">
              <w:rPr>
                <w:rFonts w:ascii="Times New Roman" w:hAnsi="Times New Roman"/>
                <w:sz w:val="24"/>
                <w:szCs w:val="24"/>
              </w:rPr>
              <w:t>2.4. Respeite a recusa da paciente a receber o medicamento.</w:t>
            </w:r>
          </w:p>
          <w:p w:rsidR="004858BF" w:rsidRPr="00A54E41" w:rsidRDefault="004858BF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A54E41" w:rsidRDefault="005A1029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41">
              <w:rPr>
                <w:rFonts w:ascii="Times New Roman" w:hAnsi="Times New Roman"/>
                <w:sz w:val="24"/>
                <w:szCs w:val="24"/>
              </w:rPr>
              <w:t xml:space="preserve">2.5. Sempre que possível à própria paciente deve fazer a aplicação. </w:t>
            </w:r>
          </w:p>
          <w:p w:rsidR="004858BF" w:rsidRPr="00A54E41" w:rsidRDefault="004858BF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A54E41" w:rsidRDefault="005A1029" w:rsidP="00A54E41">
            <w:pPr>
              <w:pStyle w:val="PargrafodaLista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41">
              <w:rPr>
                <w:rFonts w:ascii="Times New Roman" w:hAnsi="Times New Roman"/>
                <w:sz w:val="24"/>
                <w:szCs w:val="24"/>
              </w:rPr>
              <w:t>2.6. Se possível, administrar as medicações na hora de deitar, quando a paciente encontra-se reclinada.</w:t>
            </w:r>
          </w:p>
        </w:tc>
      </w:tr>
      <w:tr w:rsidR="004858BF" w:rsidRPr="00A54E41">
        <w:trPr>
          <w:trHeight w:val="2693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A54E41" w:rsidRDefault="004858BF" w:rsidP="00A54E41">
            <w:pPr>
              <w:spacing w:line="360" w:lineRule="auto"/>
              <w:ind w:left="720"/>
              <w:rPr>
                <w:b/>
              </w:rPr>
            </w:pPr>
          </w:p>
          <w:p w:rsidR="004858BF" w:rsidRPr="00A54E41" w:rsidRDefault="005A1029" w:rsidP="00A54E4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A54E41">
              <w:rPr>
                <w:b/>
              </w:rPr>
              <w:t>Materiais Necessários:</w:t>
            </w:r>
          </w:p>
          <w:p w:rsidR="004858BF" w:rsidRPr="00A54E41" w:rsidRDefault="004858BF" w:rsidP="00A54E41">
            <w:pPr>
              <w:spacing w:line="360" w:lineRule="auto"/>
              <w:ind w:left="720"/>
              <w:rPr>
                <w:b/>
              </w:rPr>
            </w:pP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t>3.1.</w:t>
            </w:r>
            <w:r w:rsidRPr="00A54E41">
              <w:rPr>
                <w:b/>
              </w:rPr>
              <w:t xml:space="preserve"> </w:t>
            </w:r>
            <w:r w:rsidRPr="00A54E41">
              <w:rPr>
                <w:rFonts w:eastAsia="Calibri"/>
                <w:lang w:eastAsia="pt-BR"/>
              </w:rPr>
              <w:t>Medicamento prescrito;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3.2. Bandeja;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3.3. Comadre;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3.4. Material para higiene íntima (bacia, sabão líquido, gazes);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3.5. Aplicador vaginal;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3.6. Luvas de procedimento;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3.7. Biombo;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3.8. Papel higiênico;</w:t>
            </w:r>
          </w:p>
          <w:p w:rsidR="004858BF" w:rsidRPr="00A54E41" w:rsidRDefault="005A1029" w:rsidP="00A54E41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A54E41">
              <w:rPr>
                <w:rFonts w:eastAsia="Calibri"/>
                <w:lang w:eastAsia="pt-BR"/>
              </w:rPr>
              <w:t>3.9. Absorvente higiênico.</w:t>
            </w:r>
          </w:p>
        </w:tc>
      </w:tr>
      <w:tr w:rsidR="00A54E41" w:rsidRPr="00A54E41" w:rsidTr="00A54E41">
        <w:trPr>
          <w:cantSplit/>
          <w:trHeight w:val="2693"/>
          <w:jc w:val="center"/>
        </w:trPr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54E41" w:rsidRPr="00A54E41" w:rsidRDefault="00A54E41" w:rsidP="00A54E41">
            <w:pPr>
              <w:suppressAutoHyphens w:val="0"/>
              <w:spacing w:line="360" w:lineRule="auto"/>
              <w:ind w:left="113" w:right="113"/>
              <w:jc w:val="center"/>
              <w:rPr>
                <w:lang w:eastAsia="pt-BR"/>
              </w:rPr>
            </w:pPr>
            <w:r w:rsidRPr="00A54E41">
              <w:rPr>
                <w:b/>
                <w:lang w:eastAsia="pt-BR"/>
              </w:rPr>
              <w:t>Responsável</w:t>
            </w:r>
          </w:p>
          <w:p w:rsidR="00A54E41" w:rsidRPr="00A54E41" w:rsidRDefault="00A54E41" w:rsidP="00A54E41">
            <w:pPr>
              <w:spacing w:line="360" w:lineRule="auto"/>
              <w:ind w:left="720" w:right="113"/>
              <w:jc w:val="center"/>
              <w:rPr>
                <w:b/>
              </w:rPr>
            </w:pPr>
            <w:r>
              <w:rPr>
                <w:lang w:eastAsia="pt-BR"/>
              </w:rPr>
              <w:t xml:space="preserve">Enfermeiro/ Técnico </w:t>
            </w:r>
            <w:r w:rsidRPr="00A54E41">
              <w:rPr>
                <w:lang w:eastAsia="pt-BR"/>
              </w:rPr>
              <w:t>de Enfermagem</w:t>
            </w:r>
          </w:p>
        </w:tc>
        <w:tc>
          <w:tcPr>
            <w:tcW w:w="7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E41" w:rsidRPr="00A54E41" w:rsidRDefault="00A54E41" w:rsidP="00A54E41">
            <w:pPr>
              <w:numPr>
                <w:ilvl w:val="0"/>
                <w:numId w:val="1"/>
              </w:numPr>
              <w:suppressAutoHyphens w:val="0"/>
              <w:spacing w:line="360" w:lineRule="auto"/>
              <w:ind w:right="227"/>
              <w:jc w:val="both"/>
              <w:rPr>
                <w:b/>
                <w:bCs/>
              </w:rPr>
            </w:pPr>
            <w:r w:rsidRPr="00A54E41">
              <w:rPr>
                <w:b/>
                <w:lang w:eastAsia="pt-BR"/>
              </w:rPr>
              <w:t>PROCEDIMENTO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4.1. Conferir a prescrição médica;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4.2. Fazer a etiqueta de identificação, contendo informações do médico (nome, dose, horário e via de administração) e do paciente (nome, registro e leito);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4.3. Reunir o material na bandeja;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4.4. Higienizar as mãos;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4.5. Levar a bandeja com o medicamento para o quarto da paciente;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4.6. Orientar a paciente sobre o procedimento;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4.7. Colocar biombo para fornecer privacidade se necessário;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4.8. Solicitar que a paciente esvazie a bexiga e faça higiene íntima, ou fazer a higiene para a paciente, caso a mesma encontre-se impossibilitada;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 xml:space="preserve">4.9. </w:t>
            </w:r>
            <w:r w:rsidRPr="00A54E41">
              <w:t xml:space="preserve"> </w:t>
            </w:r>
            <w:r w:rsidRPr="00A54E41">
              <w:rPr>
                <w:lang w:eastAsia="pt-BR"/>
              </w:rPr>
              <w:t>Calçar luvas de procedimento;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4.10. Colocar o paciente em posição ginecológica;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4.11. Caso seja aplicação em creme, colocá-lo em aplicador próprio;</w:t>
            </w:r>
          </w:p>
          <w:p w:rsidR="00A54E41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 xml:space="preserve">4.12. Introduzir o aplicador ou, outra forma de apresentação de medicamento (óvulo ou supositório), na vagina da paciente ou orientá-la a fazê-lo. </w:t>
            </w:r>
          </w:p>
          <w:p w:rsidR="00A54E41" w:rsidRPr="00A54E41" w:rsidRDefault="00A54E41" w:rsidP="00A54E41">
            <w:pPr>
              <w:spacing w:line="360" w:lineRule="auto"/>
              <w:ind w:left="720"/>
              <w:rPr>
                <w:b/>
              </w:rPr>
            </w:pPr>
          </w:p>
        </w:tc>
      </w:tr>
      <w:tr w:rsidR="004858BF" w:rsidRPr="00A54E41" w:rsidTr="00A54E41">
        <w:trPr>
          <w:cantSplit/>
          <w:trHeight w:hRule="exact" w:val="6673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858BF" w:rsidRPr="00A54E41" w:rsidRDefault="005A1029" w:rsidP="00A54E41">
            <w:pPr>
              <w:suppressAutoHyphens w:val="0"/>
              <w:spacing w:line="360" w:lineRule="auto"/>
              <w:ind w:left="113" w:right="113"/>
              <w:jc w:val="center"/>
              <w:rPr>
                <w:lang w:eastAsia="pt-BR"/>
              </w:rPr>
            </w:pPr>
            <w:r w:rsidRPr="00A54E41">
              <w:rPr>
                <w:b/>
                <w:lang w:eastAsia="pt-BR"/>
              </w:rPr>
              <w:lastRenderedPageBreak/>
              <w:t>Responsável</w:t>
            </w:r>
          </w:p>
          <w:p w:rsidR="004858BF" w:rsidRPr="00A54E41" w:rsidRDefault="00A54E41" w:rsidP="00A54E41">
            <w:pPr>
              <w:suppressAutoHyphens w:val="0"/>
              <w:spacing w:line="360" w:lineRule="auto"/>
              <w:ind w:left="113" w:right="113"/>
              <w:jc w:val="center"/>
              <w:rPr>
                <w:lang w:eastAsia="pt-BR"/>
              </w:rPr>
            </w:pPr>
            <w:r>
              <w:rPr>
                <w:lang w:eastAsia="pt-BR"/>
              </w:rPr>
              <w:t xml:space="preserve">Enfermeiro/ Técnico </w:t>
            </w:r>
            <w:r w:rsidR="005A1029" w:rsidRPr="00A54E41">
              <w:rPr>
                <w:lang w:eastAsia="pt-BR"/>
              </w:rPr>
              <w:t>de Enfermagem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 xml:space="preserve">4.13. Aplicar a medicação; 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4.14. Retirar o aplicador colocar sobre o papel higiênico e solicitar a paciente que permaneça deitada por 15 minutos (limpe a medicação residual da área externa da vagina se necessário);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4.15. Fornecer ou colocar absorvente higiênico se necessário;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4.16. Recolher o material e colocar na bandeja;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4.17. Retire as luvas de procedimento;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4.18. Lavar a bandeja com água e sabão, secar com papel-toalha e higienizar com álcool a 70%;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4.19. Higienizar as mãos;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>4.20. Checar o horário da administração do medicamento na prescrição médica;</w:t>
            </w:r>
          </w:p>
          <w:p w:rsidR="004858BF" w:rsidRPr="00A54E41" w:rsidRDefault="005A1029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A54E41">
              <w:rPr>
                <w:lang w:eastAsia="pt-BR"/>
              </w:rPr>
              <w:t xml:space="preserve">4.21. Registrar o procedimento no prontuário do paciente; </w:t>
            </w:r>
          </w:p>
          <w:p w:rsidR="004858BF" w:rsidRPr="00A54E41" w:rsidRDefault="00A54E41" w:rsidP="00A54E41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>
              <w:rPr>
                <w:lang w:eastAsia="pt-BR"/>
              </w:rPr>
              <w:t>4.22. Anotar qualquer altera</w:t>
            </w:r>
            <w:r w:rsidR="005A1029" w:rsidRPr="00A54E41">
              <w:rPr>
                <w:lang w:eastAsia="pt-BR"/>
              </w:rPr>
              <w:t>ção que possa ocorrer.</w:t>
            </w:r>
          </w:p>
        </w:tc>
      </w:tr>
      <w:tr w:rsidR="00593E37" w:rsidRPr="00A54E41" w:rsidTr="003053AF">
        <w:trPr>
          <w:trHeight w:val="699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E37" w:rsidRPr="00A54E41" w:rsidRDefault="00593E37" w:rsidP="00A54E41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A54E41">
              <w:rPr>
                <w:b/>
                <w:lang w:eastAsia="pt-BR"/>
              </w:rPr>
              <w:t>Sigla:</w:t>
            </w:r>
          </w:p>
          <w:p w:rsidR="00593E37" w:rsidRPr="00A54E41" w:rsidRDefault="00593E37" w:rsidP="00A54E41">
            <w:pPr>
              <w:spacing w:line="360" w:lineRule="auto"/>
              <w:jc w:val="center"/>
              <w:rPr>
                <w:lang w:eastAsia="pt-BR"/>
              </w:rPr>
            </w:pPr>
            <w:r w:rsidRPr="00A54E41">
              <w:rPr>
                <w:lang w:eastAsia="pt-BR"/>
              </w:rPr>
              <w:t xml:space="preserve">AMVV 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E37" w:rsidRPr="00A54E41" w:rsidRDefault="00593E37" w:rsidP="00A54E41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A54E41">
              <w:rPr>
                <w:b/>
                <w:lang w:eastAsia="pt-BR"/>
              </w:rPr>
              <w:t>Página:</w:t>
            </w:r>
          </w:p>
          <w:p w:rsidR="00593E37" w:rsidRPr="00A54E41" w:rsidRDefault="000F30AD" w:rsidP="00A54E41">
            <w:pPr>
              <w:suppressAutoHyphens w:val="0"/>
              <w:spacing w:line="360" w:lineRule="auto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  de 3</w:t>
            </w:r>
          </w:p>
        </w:tc>
      </w:tr>
    </w:tbl>
    <w:p w:rsidR="004858BF" w:rsidRDefault="004858BF">
      <w:pPr>
        <w:rPr>
          <w:rFonts w:ascii="Tahoma" w:hAnsi="Tahoma" w:cs="Tahoma"/>
          <w:sz w:val="20"/>
          <w:szCs w:val="20"/>
        </w:rPr>
      </w:pPr>
    </w:p>
    <w:p w:rsidR="004858BF" w:rsidRDefault="005A102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REFERÊNCIA</w:t>
      </w:r>
    </w:p>
    <w:p w:rsidR="004858BF" w:rsidRDefault="004858BF">
      <w:pPr>
        <w:jc w:val="both"/>
        <w:rPr>
          <w:rFonts w:ascii="Tahoma" w:hAnsi="Tahoma" w:cs="Tahoma"/>
          <w:sz w:val="20"/>
          <w:szCs w:val="20"/>
        </w:rPr>
      </w:pPr>
    </w:p>
    <w:p w:rsidR="004858BF" w:rsidRDefault="005A102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CARMANGNANI, M.I.S. et al. </w:t>
      </w:r>
      <w:r>
        <w:rPr>
          <w:rFonts w:ascii="Tahoma" w:hAnsi="Tahoma" w:cs="Tahoma"/>
          <w:b/>
          <w:sz w:val="20"/>
          <w:szCs w:val="20"/>
        </w:rPr>
        <w:t>Procedimentos de Enfermagem</w:t>
      </w:r>
      <w:r>
        <w:rPr>
          <w:rFonts w:ascii="Tahoma" w:hAnsi="Tahoma" w:cs="Tahoma"/>
          <w:sz w:val="20"/>
          <w:szCs w:val="20"/>
        </w:rPr>
        <w:t>: guia prático. Rio de Janeiro: Guanabara Koogan, 2011.</w:t>
      </w:r>
    </w:p>
    <w:p w:rsidR="004858BF" w:rsidRDefault="004858BF">
      <w:pPr>
        <w:rPr>
          <w:rFonts w:ascii="Tahoma" w:hAnsi="Tahoma" w:cs="Tahoma"/>
          <w:sz w:val="20"/>
          <w:szCs w:val="20"/>
        </w:rPr>
      </w:pPr>
    </w:p>
    <w:p w:rsidR="004858BF" w:rsidRDefault="005A10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POTTER, P.A; PERRY, A.G. </w:t>
      </w:r>
      <w:r>
        <w:rPr>
          <w:rFonts w:ascii="Tahoma" w:hAnsi="Tahoma" w:cs="Tahoma"/>
          <w:b/>
          <w:sz w:val="20"/>
          <w:szCs w:val="20"/>
        </w:rPr>
        <w:t xml:space="preserve">Fundamentos de Enfermagem. </w:t>
      </w:r>
      <w:r>
        <w:rPr>
          <w:rFonts w:ascii="Tahoma" w:hAnsi="Tahoma" w:cs="Tahoma"/>
          <w:sz w:val="20"/>
          <w:szCs w:val="20"/>
        </w:rPr>
        <w:t>7ª Ed. Rio de Janeiro: Elsevier, 2012.</w:t>
      </w:r>
    </w:p>
    <w:p w:rsidR="00B36D99" w:rsidRDefault="00B36D99">
      <w:pPr>
        <w:rPr>
          <w:rFonts w:ascii="Tahoma" w:hAnsi="Tahoma" w:cs="Tahoma"/>
          <w:sz w:val="20"/>
          <w:szCs w:val="20"/>
        </w:rPr>
      </w:pPr>
    </w:p>
    <w:p w:rsidR="00B36D99" w:rsidRDefault="00B36D99">
      <w:pPr>
        <w:rPr>
          <w:rFonts w:ascii="Tahoma" w:hAnsi="Tahoma" w:cs="Tahoma"/>
          <w:sz w:val="20"/>
          <w:szCs w:val="20"/>
        </w:rPr>
      </w:pPr>
    </w:p>
    <w:p w:rsidR="00A54E41" w:rsidRDefault="00A54E41" w:rsidP="00B36D99">
      <w:pPr>
        <w:jc w:val="center"/>
        <w:rPr>
          <w:rFonts w:ascii="Arial Black" w:hAnsi="Arial Black"/>
          <w:sz w:val="44"/>
        </w:rPr>
      </w:pPr>
    </w:p>
    <w:p w:rsidR="00A54E41" w:rsidRDefault="00A54E41" w:rsidP="00B36D99">
      <w:pPr>
        <w:jc w:val="center"/>
        <w:rPr>
          <w:rFonts w:ascii="Arial Black" w:hAnsi="Arial Black"/>
          <w:sz w:val="44"/>
        </w:rPr>
      </w:pPr>
    </w:p>
    <w:p w:rsidR="00A54E41" w:rsidRDefault="00A54E41" w:rsidP="00B36D99">
      <w:pPr>
        <w:jc w:val="center"/>
        <w:rPr>
          <w:rFonts w:ascii="Arial Black" w:hAnsi="Arial Black"/>
          <w:sz w:val="44"/>
        </w:rPr>
      </w:pPr>
    </w:p>
    <w:p w:rsidR="00A54E41" w:rsidRDefault="00A54E41" w:rsidP="00B36D99">
      <w:pPr>
        <w:jc w:val="center"/>
        <w:rPr>
          <w:rFonts w:ascii="Arial Black" w:hAnsi="Arial Black"/>
          <w:sz w:val="44"/>
        </w:rPr>
      </w:pPr>
    </w:p>
    <w:p w:rsidR="00A54E41" w:rsidRDefault="00A54E41" w:rsidP="00B36D99">
      <w:pPr>
        <w:jc w:val="center"/>
        <w:rPr>
          <w:rFonts w:ascii="Arial Black" w:hAnsi="Arial Black"/>
          <w:sz w:val="44"/>
        </w:rPr>
      </w:pPr>
    </w:p>
    <w:p w:rsidR="00A54E41" w:rsidRDefault="00A54E41" w:rsidP="00A54E4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sectPr w:rsidR="00A54E41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122"/>
    <w:multiLevelType w:val="multilevel"/>
    <w:tmpl w:val="48EAA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2E3191"/>
    <w:multiLevelType w:val="multilevel"/>
    <w:tmpl w:val="6812D3B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F"/>
    <w:rsid w:val="00087F0C"/>
    <w:rsid w:val="000F30AD"/>
    <w:rsid w:val="00120C23"/>
    <w:rsid w:val="001E2479"/>
    <w:rsid w:val="002228A8"/>
    <w:rsid w:val="002E6483"/>
    <w:rsid w:val="002F1AAB"/>
    <w:rsid w:val="0046525C"/>
    <w:rsid w:val="004821B1"/>
    <w:rsid w:val="004858BF"/>
    <w:rsid w:val="004B1DD5"/>
    <w:rsid w:val="004F4D94"/>
    <w:rsid w:val="00593E37"/>
    <w:rsid w:val="005A1029"/>
    <w:rsid w:val="005A6EF0"/>
    <w:rsid w:val="005A757F"/>
    <w:rsid w:val="005C4AC4"/>
    <w:rsid w:val="005C7F40"/>
    <w:rsid w:val="00807C0F"/>
    <w:rsid w:val="00973CD1"/>
    <w:rsid w:val="00A54E41"/>
    <w:rsid w:val="00B276FB"/>
    <w:rsid w:val="00B322FB"/>
    <w:rsid w:val="00B36D99"/>
    <w:rsid w:val="00D57BEA"/>
    <w:rsid w:val="00ED321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831"/>
  <w15:docId w15:val="{14567686-F154-4AEC-855C-123F8D21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8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ascii="Tahoma" w:hAnsi="Tahoma" w:cs="Tahoma"/>
      <w:b/>
      <w:color w:val="00000A"/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F68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4C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Tabelacomgrade">
    <w:name w:val="Table Grid"/>
    <w:basedOn w:val="Tabelanormal"/>
    <w:uiPriority w:val="59"/>
    <w:rsid w:val="0046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AF93-1B8A-4B50-A6F7-C0CDDC84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ccih03</cp:lastModifiedBy>
  <cp:revision>4</cp:revision>
  <cp:lastPrinted>2023-09-19T13:32:00Z</cp:lastPrinted>
  <dcterms:created xsi:type="dcterms:W3CDTF">2024-04-29T14:37:00Z</dcterms:created>
  <dcterms:modified xsi:type="dcterms:W3CDTF">2024-06-06T15:40:00Z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